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color w:val="111111"/>
          <w:sz w:val="36"/>
          <w:szCs w:val="36"/>
        </w:rPr>
      </w:pPr>
      <w:r>
        <w:rPr>
          <w:rFonts w:hint="eastAsia" w:ascii="方正小标宋简体" w:hAnsi="宋体" w:eastAsia="方正小标宋简体"/>
          <w:color w:val="111111"/>
          <w:sz w:val="36"/>
          <w:szCs w:val="36"/>
        </w:rPr>
        <w:t>濮阳市安阳地区医院人事代理计分核定办法</w:t>
      </w:r>
    </w:p>
    <w:p>
      <w:pPr>
        <w:ind w:firstLine="320" w:firstLineChars="100"/>
        <w:rPr>
          <w:rFonts w:hint="eastAsia" w:ascii="方正小标宋简体" w:hAnsi="宋体" w:eastAsia="方正小标宋简体"/>
          <w:color w:val="111111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本办法适用于核定档案工资计分，该办法是将工作年限、学历、职称、获奖情况等项目设定不同分数，根据个人情况，逐项计算个人所得分数，最后合计得分为个人总分。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1、工作年限计分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来院工作满3年计2分，此后每增加一年加0.2分（来院不到一年的，超过6个月按一年算，不够6个月的不计分）。工作间断的扣除间断工作年限（超过6个月按1年算）。来院工作满10年的另外增加0.5分，来院工作满15年的另外增加1分，来院工作满20年的另外增加2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2、学历计分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全日制统招本科学历4分，具有国家承认的非全日制本科学历3分，全日制大专学历2.5分，国家承认的非全日制大专学历1.5分。</w:t>
      </w:r>
      <w:r>
        <w:rPr>
          <w:rFonts w:hint="eastAsia" w:ascii="仿宋_GB2312" w:hAnsi="宋体" w:eastAsia="仿宋_GB2312"/>
          <w:sz w:val="32"/>
          <w:szCs w:val="32"/>
        </w:rPr>
        <w:t>全日制统招中专学历计0.5分，国家承认的非全日制中专学历计0.25分。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3、专业技术职务计分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获初级士级职称的计1分，初级师级职称的计2分，中级职称的计3 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4、奖励计分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（1）参加系统级专业技能比赛获得个人一二三等奖名次的，分别加3分、2分、1分。获系统级优秀护士（医师）称号的加3分。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（2）参加市级专业技能比赛获得个人一二三等奖名次的，分别加4分、3分、2分，优胜奖1分。获市级优秀护士（医师）称号的加4分。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（3）参加省级级专业技能比赛获得个人一二三等奖名次的，分别加5分、4分、3分，优胜奖2分。获省级优秀护士（医师）称号的加5分。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（4）获院十佳护士称号的每一次计1分。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111111"/>
          <w:sz w:val="32"/>
          <w:szCs w:val="32"/>
        </w:rPr>
      </w:pPr>
      <w:r>
        <w:rPr>
          <w:rFonts w:hint="eastAsia" w:ascii="仿宋_GB2312" w:hAnsi="宋体" w:eastAsia="仿宋_GB2312"/>
          <w:color w:val="111111"/>
          <w:sz w:val="32"/>
          <w:szCs w:val="32"/>
        </w:rPr>
        <w:t>（5）获院医德医风标兵称号的每一次计1分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B130E"/>
    <w:rsid w:val="311B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2020-09-28T02:56:00Z</dcterms:created>
  <dc:creator>换头像达人</dc:creator>
  <cp:lastModifiedBy>换头像达人</cp:lastModifiedBy>
  <dcterms:modified xsi:type="dcterms:W3CDTF">2020-09-28T02:57:50Z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