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u w:val="none"/>
          <w:lang w:eastAsia="zh-CN"/>
        </w:rPr>
        <w:t>图</w:t>
      </w:r>
      <w:r>
        <w:rPr>
          <w:rFonts w:hint="eastAsia"/>
          <w:b/>
          <w:bCs/>
          <w:sz w:val="30"/>
          <w:szCs w:val="30"/>
          <w:u w:val="none"/>
        </w:rPr>
        <w:t>像</w:t>
      </w:r>
      <w:r>
        <w:rPr>
          <w:rFonts w:hint="eastAsia"/>
          <w:b/>
          <w:bCs/>
          <w:sz w:val="30"/>
          <w:szCs w:val="30"/>
          <w:u w:val="none"/>
          <w:lang w:eastAsia="zh-CN"/>
        </w:rPr>
        <w:t>处理</w:t>
      </w:r>
      <w:r>
        <w:rPr>
          <w:rFonts w:hint="eastAsia"/>
          <w:b/>
          <w:bCs/>
          <w:sz w:val="30"/>
          <w:szCs w:val="30"/>
          <w:u w:val="none"/>
        </w:rPr>
        <w:t>工作站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技术参数</w:t>
      </w:r>
      <w:bookmarkStart w:id="0" w:name="_GoBack"/>
      <w:bookmarkEnd w:id="0"/>
    </w:p>
    <w:p>
      <w:pPr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对图像进行对称、镜像、反色、浮雕、对比度调节的基本处理和保存，并内置报告模板，结合临床诊断信息与图像信息生成图文报告，进行打印。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提供管理员对个人信息维护、用户管理、观察与分析代码配置、图像诊断代码配置、建议代码配置、医院名称配置和数据库优化的维护与操作功能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*3、</w:t>
      </w:r>
      <w:r>
        <w:rPr>
          <w:rFonts w:hint="eastAsia" w:ascii="宋体" w:hAnsi="宋体" w:eastAsia="宋体" w:cs="宋体"/>
          <w:sz w:val="24"/>
          <w:szCs w:val="24"/>
        </w:rPr>
        <w:t>通过超级用户设备权限管理，完成对软件登录用户的添加、删除和修改，可实现权限访问设置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对病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种</w:t>
      </w:r>
      <w:r>
        <w:rPr>
          <w:rFonts w:hint="eastAsia" w:ascii="宋体" w:hAnsi="宋体" w:eastAsia="宋体" w:cs="宋体"/>
          <w:sz w:val="24"/>
          <w:szCs w:val="24"/>
        </w:rPr>
        <w:t>名称、类型、编码的添加、删除与修改功能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实现对医院名称、报告标题名称、医院LOGO的设置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提供医生对病人记录新建、查询、删除、修改功能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患者信息至少包含“姓名、年龄、籍贯、ID号、电话、住址、身份证号、人种、申请医生、医生意见、图像分析、疾病类别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6、图像处理功能</w:t>
      </w:r>
      <w:r>
        <w:rPr>
          <w:rFonts w:hint="eastAsia" w:ascii="宋体" w:hAnsi="宋体" w:eastAsia="宋体" w:cs="宋体"/>
          <w:sz w:val="24"/>
          <w:szCs w:val="24"/>
        </w:rPr>
        <w:t>≥6种，至少包含：基本工具、对称处理、镜像处理、反色处理、浮雕处理、对比度调节、对比观察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7、基本工具</w:t>
      </w:r>
      <w:r>
        <w:rPr>
          <w:rFonts w:hint="eastAsia" w:ascii="宋体" w:hAnsi="宋体" w:eastAsia="宋体" w:cs="宋体"/>
          <w:sz w:val="24"/>
          <w:szCs w:val="24"/>
        </w:rPr>
        <w:t>≥5种，可实现对图像进行直线、椭圆、曲线、矩形和多边形的绘制、文字标注操作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*8、输出分辨率</w:t>
      </w:r>
      <w:r>
        <w:rPr>
          <w:rFonts w:hint="eastAsia" w:ascii="宋体" w:hAnsi="宋体" w:eastAsia="宋体" w:cs="宋体"/>
          <w:sz w:val="24"/>
          <w:szCs w:val="24"/>
        </w:rPr>
        <w:t>≥5760*1440dpi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*9、偏振角度0-90度可任意调节，偏振度满足80%-100%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*10放大原理为</w:t>
      </w:r>
      <w:r>
        <w:rPr>
          <w:rFonts w:hint="eastAsia" w:ascii="宋体" w:hAnsi="宋体" w:eastAsia="宋体" w:cs="宋体"/>
          <w:sz w:val="24"/>
          <w:szCs w:val="24"/>
        </w:rPr>
        <w:t>光学显微放大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光学放大≥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87768"/>
    <w:rsid w:val="607C6D31"/>
    <w:rsid w:val="7EAB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40"/>
      <w:jc w:val="center"/>
      <w:outlineLvl w:val="0"/>
    </w:pPr>
    <w:rPr>
      <w:rFonts w:ascii="仿宋" w:hAnsi="仿宋" w:eastAsia="宋体" w:cs="仿宋"/>
      <w:b/>
      <w:sz w:val="36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1"/>
    <w:rPr>
      <w:rFonts w:ascii="仿宋" w:hAnsi="仿宋" w:eastAsia="宋体" w:cs="仿宋"/>
      <w:b/>
      <w:sz w:val="36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2020-10-13T06:54:00Z</dcterms:created>
  <dc:creator>Administrator</dc:creator>
  <cp:lastModifiedBy>王利莎</cp:lastModifiedBy>
  <dcterms:modified xsi:type="dcterms:W3CDTF">2021-01-05T08:51:17Z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